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A4" w:rsidRPr="00E9071E" w:rsidRDefault="00E14EA4" w:rsidP="00E14EA4">
      <w:pPr>
        <w:pStyle w:val="Heading1"/>
        <w:numPr>
          <w:ilvl w:val="0"/>
          <w:numId w:val="0"/>
        </w:numPr>
        <w:pBdr>
          <w:bottom w:val="single" w:sz="4" w:space="1" w:color="auto"/>
        </w:pBdr>
        <w:jc w:val="center"/>
        <w:rPr>
          <w:lang w:val="en-ZA"/>
        </w:rPr>
      </w:pPr>
      <w:bookmarkStart w:id="0" w:name="_Toc356284485"/>
      <w:r w:rsidRPr="00E9071E">
        <w:rPr>
          <w:lang w:val="en-ZA"/>
        </w:rPr>
        <w:t>NDPG Pro forma Council Resolution</w:t>
      </w:r>
      <w:bookmarkEnd w:id="0"/>
      <w:r w:rsidRPr="00E9071E">
        <w:rPr>
          <w:lang w:val="en-ZA"/>
        </w:rPr>
        <w:t xml:space="preserve"> </w:t>
      </w:r>
    </w:p>
    <w:p w:rsidR="003B480B" w:rsidRPr="00E9071E" w:rsidRDefault="003B480B" w:rsidP="003B480B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CF5ECD" w:rsidRPr="00E9071E" w:rsidRDefault="00CF5ECD" w:rsidP="00CF5ECD">
      <w:pPr>
        <w:pStyle w:val="Default"/>
        <w:widowControl w:val="0"/>
        <w:rPr>
          <w:rFonts w:asciiTheme="minorHAnsi" w:hAnsiTheme="minorHAnsi" w:cstheme="minorHAnsi"/>
          <w:sz w:val="22"/>
          <w:szCs w:val="22"/>
        </w:rPr>
      </w:pPr>
      <w:r w:rsidRPr="00E9071E">
        <w:rPr>
          <w:rFonts w:asciiTheme="minorHAnsi" w:hAnsiTheme="minorHAnsi" w:cstheme="minorHAnsi"/>
          <w:sz w:val="22"/>
          <w:szCs w:val="22"/>
        </w:rPr>
        <w:t xml:space="preserve">The municipal council of each municipality must approve participation Neighbourhood Development Partnership Grant through passing a resolution that </w:t>
      </w:r>
      <w:r w:rsidR="00F75136" w:rsidRPr="00E9071E">
        <w:rPr>
          <w:rFonts w:asciiTheme="minorHAnsi" w:hAnsiTheme="minorHAnsi" w:cstheme="minorHAnsi"/>
          <w:sz w:val="22"/>
          <w:szCs w:val="22"/>
        </w:rPr>
        <w:t>supports</w:t>
      </w:r>
      <w:r w:rsidRPr="00E9071E">
        <w:rPr>
          <w:rFonts w:asciiTheme="minorHAnsi" w:hAnsiTheme="minorHAnsi" w:cstheme="minorHAnsi"/>
          <w:sz w:val="22"/>
          <w:szCs w:val="22"/>
        </w:rPr>
        <w:t xml:space="preserve"> the following wording:</w:t>
      </w:r>
    </w:p>
    <w:p w:rsidR="003B480B" w:rsidRPr="00E9071E" w:rsidRDefault="003B480B" w:rsidP="003B480B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3B480B" w:rsidRPr="00E9071E" w:rsidRDefault="003B480B" w:rsidP="003B480B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>The municipal council notes:</w:t>
      </w:r>
      <w:bookmarkStart w:id="1" w:name="_GoBack"/>
      <w:bookmarkEnd w:id="1"/>
    </w:p>
    <w:p w:rsidR="003B480B" w:rsidRPr="00E9071E" w:rsidRDefault="003B480B" w:rsidP="003B480B">
      <w:pPr>
        <w:pStyle w:val="Default"/>
        <w:widowControl w:val="0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F03C35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DORA </w:t>
      </w:r>
      <w:r w:rsidRPr="00E9071E">
        <w:rPr>
          <w:rFonts w:asciiTheme="minorHAnsi" w:hAnsiTheme="minorHAnsi" w:cstheme="minorHAnsi"/>
          <w:color w:val="auto"/>
          <w:sz w:val="22"/>
          <w:szCs w:val="22"/>
        </w:rPr>
        <w:t>allocation of funding from the Neighbourhood Development Partnership Grant for the 2013/14 financial year;</w:t>
      </w:r>
    </w:p>
    <w:p w:rsidR="00CF5ECD" w:rsidRPr="00E9071E" w:rsidRDefault="003B480B" w:rsidP="00F75136">
      <w:pPr>
        <w:pStyle w:val="Default"/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The terms, conditions and requirements associated with the Neighbourhood Development Partnership Grant, including: (i) 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>the identification of the Urban Network (</w:t>
      </w:r>
      <w:r w:rsidR="00F75136" w:rsidRPr="00E9071E">
        <w:rPr>
          <w:rFonts w:asciiTheme="minorHAnsi" w:hAnsiTheme="minorHAnsi" w:cstheme="minorHAnsi"/>
          <w:color w:val="auto"/>
          <w:sz w:val="22"/>
          <w:szCs w:val="22"/>
        </w:rPr>
        <w:t>including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 all network elements</w:t>
      </w:r>
      <w:r w:rsidR="00E06512" w:rsidRPr="00E9071E">
        <w:rPr>
          <w:rStyle w:val="EndnoteReference"/>
          <w:rFonts w:asciiTheme="minorHAnsi" w:hAnsiTheme="minorHAnsi" w:cstheme="minorHAnsi"/>
          <w:color w:val="auto"/>
          <w:sz w:val="22"/>
          <w:szCs w:val="22"/>
        </w:rPr>
        <w:endnoteReference w:id="1"/>
      </w:r>
      <w:r w:rsidR="00F75136" w:rsidRPr="00E9071E">
        <w:rPr>
          <w:rFonts w:asciiTheme="minorHAnsi" w:hAnsiTheme="minorHAnsi" w:cstheme="minorHAnsi"/>
          <w:color w:val="auto"/>
          <w:sz w:val="22"/>
          <w:szCs w:val="22"/>
        </w:rPr>
        <w:t>, in particular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 the location of the urban hub</w:t>
      </w:r>
      <w:r w:rsidR="00E06512" w:rsidRPr="00E9071E">
        <w:rPr>
          <w:rStyle w:val="EndnoteReference"/>
          <w:rFonts w:asciiTheme="minorHAnsi" w:hAnsiTheme="minorHAnsi" w:cstheme="minorHAnsi"/>
          <w:color w:val="auto"/>
          <w:sz w:val="22"/>
          <w:szCs w:val="22"/>
        </w:rPr>
        <w:endnoteReference w:id="2"/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>/s</w:t>
      </w:r>
      <w:r w:rsidR="00F75136" w:rsidRPr="00E9071E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 (ii) </w:t>
      </w:r>
      <w:r w:rsidR="00F75136" w:rsidRPr="00E9071E">
        <w:rPr>
          <w:rFonts w:asciiTheme="minorHAnsi" w:hAnsiTheme="minorHAnsi" w:cstheme="minorHAnsi"/>
          <w:sz w:val="22"/>
          <w:szCs w:val="22"/>
        </w:rPr>
        <w:t xml:space="preserve">effective </w:t>
      </w:r>
      <w:r w:rsidR="00CF5ECD" w:rsidRPr="00E9071E">
        <w:rPr>
          <w:rFonts w:asciiTheme="minorHAnsi" w:hAnsiTheme="minorHAnsi" w:cstheme="minorHAnsi"/>
          <w:sz w:val="22"/>
          <w:szCs w:val="22"/>
        </w:rPr>
        <w:t>co-ordination</w:t>
      </w:r>
      <w:r w:rsidR="00E06512" w:rsidRPr="00E9071E">
        <w:rPr>
          <w:rFonts w:asciiTheme="minorHAnsi" w:hAnsiTheme="minorHAnsi" w:cstheme="minorHAnsi"/>
          <w:sz w:val="22"/>
          <w:szCs w:val="22"/>
        </w:rPr>
        <w:t xml:space="preserve"> and</w:t>
      </w:r>
      <w:r w:rsidR="00CF5ECD" w:rsidRPr="00E9071E">
        <w:rPr>
          <w:rFonts w:asciiTheme="minorHAnsi" w:hAnsiTheme="minorHAnsi" w:cstheme="minorHAnsi"/>
          <w:sz w:val="22"/>
          <w:szCs w:val="22"/>
        </w:rPr>
        <w:t xml:space="preserve"> spatial targeting </w:t>
      </w:r>
      <w:r w:rsidR="00E06512" w:rsidRPr="00E9071E">
        <w:rPr>
          <w:rFonts w:asciiTheme="minorHAnsi" w:hAnsiTheme="minorHAnsi" w:cstheme="minorHAnsi"/>
          <w:sz w:val="22"/>
          <w:szCs w:val="22"/>
        </w:rPr>
        <w:t xml:space="preserve">of </w:t>
      </w:r>
      <w:r w:rsidR="00CF5ECD" w:rsidRPr="00E9071E">
        <w:rPr>
          <w:rFonts w:asciiTheme="minorHAnsi" w:hAnsiTheme="minorHAnsi" w:cstheme="minorHAnsi"/>
          <w:sz w:val="22"/>
          <w:szCs w:val="22"/>
        </w:rPr>
        <w:t xml:space="preserve">infrastructure investments and </w:t>
      </w:r>
      <w:r w:rsidR="00E06512" w:rsidRPr="00E9071E">
        <w:rPr>
          <w:rFonts w:asciiTheme="minorHAnsi" w:hAnsiTheme="minorHAnsi" w:cstheme="minorHAnsi"/>
          <w:sz w:val="22"/>
          <w:szCs w:val="22"/>
        </w:rPr>
        <w:t xml:space="preserve">the </w:t>
      </w:r>
      <w:r w:rsidR="00CF5ECD" w:rsidRPr="00E9071E">
        <w:rPr>
          <w:rFonts w:asciiTheme="minorHAnsi" w:hAnsiTheme="minorHAnsi" w:cstheme="minorHAnsi"/>
          <w:sz w:val="22"/>
          <w:szCs w:val="22"/>
        </w:rPr>
        <w:t xml:space="preserve">prioritisation of interventions </w:t>
      </w:r>
      <w:r w:rsidR="00F75136" w:rsidRPr="00E9071E">
        <w:rPr>
          <w:rFonts w:asciiTheme="minorHAnsi" w:hAnsiTheme="minorHAnsi" w:cstheme="minorHAnsi"/>
          <w:sz w:val="22"/>
          <w:szCs w:val="22"/>
        </w:rPr>
        <w:t>(iii) efficient</w:t>
      </w:r>
      <w:r w:rsidR="00CF5ECD" w:rsidRPr="00E9071E">
        <w:rPr>
          <w:rFonts w:asciiTheme="minorHAnsi" w:hAnsiTheme="minorHAnsi" w:cstheme="minorHAnsi"/>
          <w:sz w:val="22"/>
          <w:szCs w:val="22"/>
        </w:rPr>
        <w:t xml:space="preserve"> </w:t>
      </w:r>
      <w:r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grant 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financial management, </w:t>
      </w:r>
      <w:r w:rsidR="00F75136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internal 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>governance and co-ordination</w:t>
      </w:r>
      <w:r w:rsidR="00F75136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>performance</w:t>
      </w:r>
      <w:r w:rsidR="00F75136" w:rsidRPr="00E9071E">
        <w:rPr>
          <w:rFonts w:asciiTheme="minorHAnsi" w:hAnsiTheme="minorHAnsi" w:cstheme="minorHAnsi"/>
          <w:color w:val="auto"/>
          <w:sz w:val="22"/>
          <w:szCs w:val="22"/>
        </w:rPr>
        <w:t>/progress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 tracking and reporting</w:t>
      </w:r>
      <w:r w:rsidR="00F75136" w:rsidRPr="00E9071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06512" w:rsidRPr="00E9071E" w:rsidRDefault="00E06512" w:rsidP="003B480B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3B480B" w:rsidRPr="00E9071E" w:rsidRDefault="003B480B" w:rsidP="003B480B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>The municipal council:</w:t>
      </w:r>
    </w:p>
    <w:p w:rsidR="003B480B" w:rsidRPr="00E9071E" w:rsidRDefault="003B480B" w:rsidP="003B480B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Approves the </w:t>
      </w:r>
      <w:r w:rsidR="00CF5ECD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receipt of </w:t>
      </w:r>
      <w:r w:rsidRPr="00E9071E">
        <w:rPr>
          <w:rFonts w:asciiTheme="minorHAnsi" w:hAnsiTheme="minorHAnsi" w:cstheme="minorHAnsi"/>
          <w:color w:val="auto"/>
          <w:sz w:val="22"/>
          <w:szCs w:val="22"/>
        </w:rPr>
        <w:t>the Neighbourhood Development Partnership Grant, subject to the terms and conditions of the programme</w:t>
      </w:r>
    </w:p>
    <w:p w:rsidR="00F03C35" w:rsidRPr="00E9071E" w:rsidRDefault="003B480B" w:rsidP="00706BCD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Authorises the Municipal Manager to sign the </w:t>
      </w:r>
      <w:r w:rsidR="00F75136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NDPG </w:t>
      </w:r>
      <w:r w:rsidRPr="00E9071E">
        <w:rPr>
          <w:rFonts w:asciiTheme="minorHAnsi" w:hAnsiTheme="minorHAnsi" w:cstheme="minorHAnsi"/>
          <w:color w:val="auto"/>
          <w:sz w:val="22"/>
          <w:szCs w:val="22"/>
        </w:rPr>
        <w:t>Memorandum of Agreement between the Municipality and the National Treasury</w:t>
      </w:r>
      <w:r w:rsidR="00F03C35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 and any subsequent documentation that will be required to </w:t>
      </w:r>
      <w:r w:rsidR="002F199D" w:rsidRPr="00E9071E">
        <w:rPr>
          <w:rFonts w:asciiTheme="minorHAnsi" w:hAnsiTheme="minorHAnsi" w:cstheme="minorHAnsi"/>
          <w:color w:val="auto"/>
          <w:sz w:val="22"/>
          <w:szCs w:val="22"/>
        </w:rPr>
        <w:t>submit</w:t>
      </w:r>
      <w:r w:rsidR="00F03C35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 on behalf of the Municipality.</w:t>
      </w:r>
    </w:p>
    <w:p w:rsidR="002F199D" w:rsidRPr="00E9071E" w:rsidRDefault="002F199D" w:rsidP="00CF5ECD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That </w:t>
      </w:r>
      <w:r w:rsidR="00E06512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a separate vote number </w:t>
      </w:r>
      <w:r w:rsidRPr="00E9071E">
        <w:rPr>
          <w:rFonts w:asciiTheme="minorHAnsi" w:hAnsiTheme="minorHAnsi" w:cstheme="minorHAnsi"/>
          <w:color w:val="auto"/>
          <w:sz w:val="22"/>
          <w:szCs w:val="22"/>
        </w:rPr>
        <w:t>be created for the management of the Neighbourhood Development Partnership Grant funding.</w:t>
      </w:r>
    </w:p>
    <w:p w:rsidR="003B480B" w:rsidRPr="00E9071E" w:rsidRDefault="00F75136" w:rsidP="00CF5ECD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>Supports</w:t>
      </w:r>
      <w:r w:rsidR="003B480B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6512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3B480B"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identification of the </w:t>
      </w:r>
      <w:r w:rsidRPr="00E9071E">
        <w:rPr>
          <w:rFonts w:asciiTheme="minorHAnsi" w:hAnsiTheme="minorHAnsi" w:cstheme="minorHAnsi"/>
          <w:color w:val="auto"/>
          <w:sz w:val="22"/>
          <w:szCs w:val="22"/>
        </w:rPr>
        <w:t>Urban Network (including all urban network elements, in particular the location of the urban hub/s)</w:t>
      </w:r>
    </w:p>
    <w:p w:rsidR="00CF5ECD" w:rsidRPr="00E9071E" w:rsidRDefault="00F75136" w:rsidP="00CF5ECD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Authorises the Municipal Manager </w:t>
      </w:r>
      <w:r w:rsidR="00A53A38" w:rsidRPr="00E9071E">
        <w:rPr>
          <w:rFonts w:asciiTheme="minorHAnsi" w:hAnsiTheme="minorHAnsi" w:cstheme="minorHAnsi"/>
          <w:color w:val="auto"/>
          <w:sz w:val="22"/>
          <w:szCs w:val="22"/>
        </w:rPr>
        <w:t>to nominate the internal municipal</w:t>
      </w:r>
      <w:r w:rsidRPr="00E907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F5ECD" w:rsidRPr="00E9071E">
        <w:rPr>
          <w:rFonts w:asciiTheme="minorHAnsi" w:hAnsiTheme="minorHAnsi" w:cstheme="minorHAnsi"/>
          <w:sz w:val="22"/>
          <w:szCs w:val="22"/>
        </w:rPr>
        <w:t>NDPG Co-ordinator</w:t>
      </w:r>
      <w:r w:rsidR="00A53A38" w:rsidRPr="00E9071E">
        <w:rPr>
          <w:rFonts w:asciiTheme="minorHAnsi" w:hAnsiTheme="minorHAnsi" w:cstheme="minorHAnsi"/>
          <w:sz w:val="22"/>
          <w:szCs w:val="22"/>
        </w:rPr>
        <w:t xml:space="preserve"> (to provide</w:t>
      </w:r>
      <w:r w:rsidR="00CF5ECD" w:rsidRPr="00E9071E">
        <w:rPr>
          <w:rFonts w:asciiTheme="minorHAnsi" w:hAnsiTheme="minorHAnsi" w:cstheme="minorHAnsi"/>
          <w:sz w:val="22"/>
          <w:szCs w:val="22"/>
        </w:rPr>
        <w:t xml:space="preserve"> </w:t>
      </w:r>
      <w:r w:rsidR="00A53A38" w:rsidRPr="00E9071E">
        <w:rPr>
          <w:rFonts w:asciiTheme="minorHAnsi" w:hAnsiTheme="minorHAnsi" w:cstheme="minorHAnsi"/>
          <w:sz w:val="22"/>
          <w:szCs w:val="22"/>
        </w:rPr>
        <w:t xml:space="preserve">the necessary </w:t>
      </w:r>
      <w:r w:rsidR="00CF5ECD" w:rsidRPr="00E9071E">
        <w:rPr>
          <w:rFonts w:asciiTheme="minorHAnsi" w:hAnsiTheme="minorHAnsi" w:cstheme="minorHAnsi"/>
          <w:sz w:val="22"/>
          <w:szCs w:val="22"/>
        </w:rPr>
        <w:t>oversight</w:t>
      </w:r>
      <w:r w:rsidR="00A53A38" w:rsidRPr="00E9071E">
        <w:rPr>
          <w:rFonts w:asciiTheme="minorHAnsi" w:hAnsiTheme="minorHAnsi" w:cstheme="minorHAnsi"/>
          <w:sz w:val="22"/>
          <w:szCs w:val="22"/>
        </w:rPr>
        <w:t xml:space="preserve">, </w:t>
      </w:r>
      <w:r w:rsidR="00A53A38" w:rsidRPr="00E9071E">
        <w:rPr>
          <w:rFonts w:asciiTheme="minorHAnsi" w:hAnsiTheme="minorHAnsi" w:cstheme="minorHAnsi"/>
          <w:color w:val="auto"/>
          <w:sz w:val="22"/>
          <w:szCs w:val="22"/>
        </w:rPr>
        <w:t>governance and co-ordination)</w:t>
      </w:r>
      <w:r w:rsidR="00A53A38" w:rsidRPr="00E9071E">
        <w:rPr>
          <w:rFonts w:asciiTheme="minorHAnsi" w:hAnsiTheme="minorHAnsi" w:cstheme="minorHAnsi"/>
          <w:sz w:val="22"/>
          <w:szCs w:val="22"/>
        </w:rPr>
        <w:t xml:space="preserve">. </w:t>
      </w:r>
      <w:r w:rsidR="00CF5ECD" w:rsidRPr="00E9071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5ECD" w:rsidRPr="00E9071E" w:rsidRDefault="00CF5ECD" w:rsidP="00CF5ECD">
      <w:pPr>
        <w:pStyle w:val="Default"/>
        <w:widowControl w:val="0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CF5ECD" w:rsidRPr="00E9071E" w:rsidRDefault="00CF5ECD">
      <w:pPr>
        <w:rPr>
          <w:rFonts w:cstheme="minorHAnsi"/>
        </w:rPr>
      </w:pPr>
    </w:p>
    <w:sectPr w:rsidR="00CF5ECD" w:rsidRPr="00E9071E" w:rsidSect="00E9071E">
      <w:headerReference w:type="default" r:id="rId12"/>
      <w:footerReference w:type="default" r:id="rId13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4F" w:rsidRDefault="00713B4F" w:rsidP="00E06512">
      <w:pPr>
        <w:spacing w:after="0" w:line="240" w:lineRule="auto"/>
      </w:pPr>
      <w:r>
        <w:separator/>
      </w:r>
    </w:p>
  </w:endnote>
  <w:endnote w:type="continuationSeparator" w:id="0">
    <w:p w:rsidR="00713B4F" w:rsidRDefault="00713B4F" w:rsidP="00E06512">
      <w:pPr>
        <w:spacing w:after="0" w:line="240" w:lineRule="auto"/>
      </w:pPr>
      <w:r>
        <w:continuationSeparator/>
      </w:r>
    </w:p>
  </w:endnote>
  <w:endnote w:id="1">
    <w:p w:rsidR="00E06512" w:rsidRDefault="00E06512" w:rsidP="00E0651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06512">
        <w:t xml:space="preserve">Network Elements include: Urban Hub/s (in townships), the CBD, Emerging and Existing Corridor Nodes, Primary and Secondary Transport Linkages as well as Activity Corridors between the anchor nodes.  </w:t>
      </w:r>
    </w:p>
  </w:endnote>
  <w:endnote w:id="2">
    <w:p w:rsidR="00E06512" w:rsidRDefault="00E06512">
      <w:pPr>
        <w:pStyle w:val="EndnoteText"/>
      </w:pPr>
      <w:r>
        <w:rPr>
          <w:rStyle w:val="EndnoteReference"/>
        </w:rPr>
        <w:endnoteRef/>
      </w:r>
      <w:r>
        <w:t xml:space="preserve"> Urban Hubs can also be referred to as </w:t>
      </w:r>
      <w:r w:rsidRPr="00E06512">
        <w:t xml:space="preserve">Precincts </w:t>
      </w:r>
      <w:r>
        <w:t>and / or Township CBD’s.</w:t>
      </w: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E9071E" w:rsidRDefault="00E9071E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Default="00B07F33">
      <w:pPr>
        <w:pStyle w:val="EndnoteText"/>
      </w:pPr>
    </w:p>
    <w:p w:rsidR="00B07F33" w:rsidRPr="003203E9" w:rsidRDefault="00B07F33" w:rsidP="00B07F33">
      <w:pPr>
        <w:pStyle w:val="Heading1"/>
        <w:numPr>
          <w:ilvl w:val="0"/>
          <w:numId w:val="0"/>
        </w:numPr>
        <w:pBdr>
          <w:bottom w:val="single" w:sz="4" w:space="1" w:color="auto"/>
        </w:pBdr>
        <w:jc w:val="center"/>
        <w:rPr>
          <w:lang w:val="en-ZA"/>
        </w:rPr>
      </w:pPr>
      <w:bookmarkStart w:id="2" w:name="_Toc356284423"/>
      <w:bookmarkStart w:id="3" w:name="_Toc356896989"/>
      <w:r w:rsidRPr="003203E9">
        <w:rPr>
          <w:lang w:val="en-ZA"/>
        </w:rPr>
        <w:t>Annexure B - Pro forma council resolution</w:t>
      </w:r>
      <w:bookmarkEnd w:id="2"/>
      <w:bookmarkEnd w:id="3"/>
      <w:r w:rsidRPr="003203E9">
        <w:rPr>
          <w:lang w:val="en-ZA"/>
        </w:rPr>
        <w:t xml:space="preserve"> </w:t>
      </w:r>
    </w:p>
    <w:p w:rsidR="00B07F33" w:rsidRPr="003203E9" w:rsidRDefault="00B07F33" w:rsidP="00B07F33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B07F33" w:rsidRPr="00E002C3" w:rsidRDefault="00B07F33" w:rsidP="00B07F33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  <w:r w:rsidRPr="003203E9">
        <w:rPr>
          <w:rFonts w:asciiTheme="minorHAnsi" w:hAnsiTheme="minorHAnsi" w:cstheme="minorHAnsi"/>
          <w:color w:val="auto"/>
          <w:sz w:val="22"/>
          <w:szCs w:val="22"/>
        </w:rPr>
        <w:t xml:space="preserve">The municipal council of each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Municipality </w:t>
      </w:r>
      <w:r w:rsidRPr="003203E9">
        <w:rPr>
          <w:rFonts w:asciiTheme="minorHAnsi" w:hAnsiTheme="minorHAnsi" w:cstheme="minorHAnsi"/>
          <w:color w:val="auto"/>
          <w:sz w:val="22"/>
          <w:szCs w:val="22"/>
        </w:rPr>
        <w:t>participating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</w:t>
      </w:r>
      <w:r w:rsidRPr="003203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City Support Programme </w:t>
      </w:r>
      <w:r w:rsidRPr="003203E9">
        <w:rPr>
          <w:rFonts w:asciiTheme="minorHAnsi" w:hAnsiTheme="minorHAnsi" w:cstheme="minorHAnsi"/>
          <w:color w:val="auto"/>
          <w:sz w:val="22"/>
          <w:szCs w:val="22"/>
        </w:rPr>
        <w:t>must approve participation in the Integrated City Support Grant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the 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Neighbourhood Development Partnership Grant</w:t>
      </w:r>
      <w:r w:rsidRPr="003203E9">
        <w:rPr>
          <w:rFonts w:asciiTheme="minorHAnsi" w:hAnsiTheme="minorHAnsi" w:cstheme="minorHAnsi"/>
          <w:color w:val="auto"/>
          <w:sz w:val="22"/>
          <w:szCs w:val="22"/>
        </w:rPr>
        <w:t xml:space="preserve"> through passing a resolution that includes the following wording:</w:t>
      </w:r>
    </w:p>
    <w:p w:rsidR="00B07F33" w:rsidRPr="00E002C3" w:rsidRDefault="00B07F33" w:rsidP="00B07F33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B07F33" w:rsidRPr="00E002C3" w:rsidRDefault="00B07F33" w:rsidP="00B07F33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  <w:r w:rsidRPr="00E002C3">
        <w:rPr>
          <w:rFonts w:asciiTheme="minorHAnsi" w:hAnsiTheme="minorHAnsi" w:cstheme="minorHAnsi"/>
          <w:color w:val="auto"/>
          <w:sz w:val="22"/>
          <w:szCs w:val="22"/>
        </w:rPr>
        <w:t>“The municipal council notes:</w:t>
      </w:r>
    </w:p>
    <w:p w:rsidR="00B07F33" w:rsidRPr="00E002C3" w:rsidRDefault="00B07F33" w:rsidP="00B07F33">
      <w:pPr>
        <w:pStyle w:val="Default"/>
        <w:widowControl w:val="0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002C3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DORA 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allocation of funding from the Integrated City Development Grant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the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 xml:space="preserve"> Neighbourhood Development Partnership Grant for the 2013/14 financial year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B07F33" w:rsidRPr="00E002C3" w:rsidRDefault="00B07F33" w:rsidP="00B07F33">
      <w:pPr>
        <w:pStyle w:val="Default"/>
        <w:widowControl w:val="0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002C3">
        <w:rPr>
          <w:rFonts w:asciiTheme="minorHAnsi" w:hAnsiTheme="minorHAnsi" w:cstheme="minorHAnsi"/>
          <w:color w:val="auto"/>
          <w:sz w:val="22"/>
          <w:szCs w:val="22"/>
        </w:rPr>
        <w:t>The terms, conditions and requirements associated with the Integrated City Development Grant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the 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Neighbourhood Development Partnership Grant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 xml:space="preserve"> including: (i) </w:t>
      </w:r>
      <w:r w:rsidRPr="00B27DBA">
        <w:rPr>
          <w:rFonts w:asciiTheme="minorHAnsi" w:hAnsiTheme="minorHAnsi" w:cstheme="minorHAnsi"/>
          <w:color w:val="auto"/>
          <w:sz w:val="22"/>
          <w:szCs w:val="22"/>
        </w:rPr>
        <w:t>grant management, governance, reporting and co-ordination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arrangements; (ii) the definition of 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Urban Network (and identifying all network elements)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; and 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(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ii) submission of a Built Environment Performance Plan for 2014/15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including the </w:t>
      </w:r>
      <w:r w:rsidRPr="000D434F">
        <w:rPr>
          <w:rFonts w:asciiTheme="minorHAnsi" w:hAnsiTheme="minorHAnsi" w:cstheme="minorHAnsi"/>
          <w:color w:val="auto"/>
          <w:sz w:val="22"/>
          <w:szCs w:val="22"/>
        </w:rPr>
        <w:t>identification of and plans for integration zones within the urban network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07F33" w:rsidRPr="00E002C3" w:rsidRDefault="00B07F33" w:rsidP="00B07F33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B07F33" w:rsidRPr="00E002C3" w:rsidRDefault="00B07F33" w:rsidP="00B07F33">
      <w:pPr>
        <w:pStyle w:val="Default"/>
        <w:widowControl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municipal council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B07F33" w:rsidRPr="00E002C3" w:rsidRDefault="00B07F33" w:rsidP="00B07F33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Approves t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he receipt of the Integrated City Development Grant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the 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Neighbourhood Development Partnership Grant, subject to the terms and conditions of the programme</w:t>
      </w:r>
    </w:p>
    <w:p w:rsidR="00B07F33" w:rsidRPr="00F527CE" w:rsidRDefault="00B07F33" w:rsidP="00B07F33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03C35">
        <w:rPr>
          <w:rFonts w:asciiTheme="minorHAnsi" w:hAnsiTheme="minorHAnsi" w:cstheme="minorHAnsi"/>
          <w:color w:val="auto"/>
          <w:sz w:val="22"/>
          <w:szCs w:val="22"/>
        </w:rPr>
        <w:t xml:space="preserve">Authorises the Municipal / City Manager to sign the Memorandum of Agreement between the Municipality and the National Treasury and </w:t>
      </w:r>
      <w:r>
        <w:rPr>
          <w:rFonts w:asciiTheme="minorHAnsi" w:hAnsiTheme="minorHAnsi" w:cstheme="minorHAnsi"/>
          <w:color w:val="auto"/>
          <w:sz w:val="22"/>
          <w:szCs w:val="22"/>
        </w:rPr>
        <w:t>any</w:t>
      </w:r>
      <w:r w:rsidRPr="00F03C35">
        <w:rPr>
          <w:rFonts w:asciiTheme="minorHAnsi" w:hAnsiTheme="minorHAnsi" w:cstheme="minorHAnsi"/>
          <w:color w:val="auto"/>
          <w:sz w:val="22"/>
          <w:szCs w:val="22"/>
        </w:rPr>
        <w:t xml:space="preserve"> subsequent documentation that will be required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</w:t>
      </w:r>
      <w:r w:rsidRPr="00F03C35">
        <w:rPr>
          <w:rFonts w:asciiTheme="minorHAnsi" w:hAnsiTheme="minorHAnsi" w:cstheme="minorHAnsi"/>
          <w:color w:val="auto"/>
          <w:sz w:val="22"/>
          <w:szCs w:val="22"/>
        </w:rPr>
        <w:t xml:space="preserve"> submit on behalf of </w:t>
      </w:r>
      <w:r>
        <w:rPr>
          <w:rFonts w:asciiTheme="minorHAnsi" w:hAnsiTheme="minorHAnsi" w:cstheme="minorHAnsi"/>
          <w:color w:val="auto"/>
          <w:sz w:val="22"/>
          <w:szCs w:val="22"/>
        </w:rPr>
        <w:t>the Municipality.</w:t>
      </w:r>
    </w:p>
    <w:p w:rsidR="00B07F33" w:rsidRPr="00F527CE" w:rsidRDefault="00B07F33" w:rsidP="00B07F33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527CE">
        <w:rPr>
          <w:rFonts w:asciiTheme="minorHAnsi" w:hAnsiTheme="minorHAnsi" w:cstheme="minorHAnsi"/>
          <w:color w:val="auto"/>
          <w:sz w:val="22"/>
          <w:szCs w:val="22"/>
        </w:rPr>
        <w:t>That separate vote numbers be created for the management of the Integrated City Development Grant and Neighbourhood Development Partnership Grant funding.</w:t>
      </w:r>
    </w:p>
    <w:p w:rsidR="00B07F33" w:rsidRPr="00DF7343" w:rsidRDefault="00B07F33" w:rsidP="00B07F33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F7343">
        <w:rPr>
          <w:rFonts w:asciiTheme="minorHAnsi" w:hAnsiTheme="minorHAnsi" w:cstheme="minorHAnsi"/>
          <w:color w:val="auto"/>
          <w:sz w:val="22"/>
          <w:szCs w:val="22"/>
        </w:rPr>
        <w:t>Notes the identification of the urban networks and the related plans for the network elements, urban hubs, CBD and integration zones; and</w:t>
      </w:r>
    </w:p>
    <w:p w:rsidR="00B07F33" w:rsidRPr="00E002C3" w:rsidRDefault="00B07F33" w:rsidP="00B07F33">
      <w:pPr>
        <w:pStyle w:val="Default"/>
        <w:widowControl w:val="0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Approves t</w:t>
      </w:r>
      <w:r w:rsidRPr="00E002C3">
        <w:rPr>
          <w:rFonts w:asciiTheme="minorHAnsi" w:hAnsiTheme="minorHAnsi" w:cstheme="minorHAnsi"/>
          <w:color w:val="auto"/>
          <w:sz w:val="22"/>
          <w:szCs w:val="22"/>
        </w:rPr>
        <w:t>he development of a Built Environment Performance Plan for 2014/15 for submission in terms of the requirement of the Integrated City Development Grant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07F33" w:rsidRDefault="00B07F33" w:rsidP="00B07F33"/>
    <w:p w:rsidR="00B07F33" w:rsidRDefault="00B07F3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1E" w:rsidRPr="00BD0259" w:rsidRDefault="00E9071E" w:rsidP="00E9071E">
    <w:pPr>
      <w:pStyle w:val="Footer"/>
      <w:tabs>
        <w:tab w:val="left" w:pos="3450"/>
      </w:tabs>
      <w:jc w:val="center"/>
      <w:rPr>
        <w:rFonts w:ascii="Calibri" w:hAnsi="Calibri" w:cs="Calibri"/>
        <w:color w:val="FF0000"/>
        <w:sz w:val="16"/>
        <w:szCs w:val="16"/>
      </w:rPr>
    </w:pPr>
    <w:r w:rsidRPr="00BD0259">
      <w:rPr>
        <w:rFonts w:ascii="Calibri" w:hAnsi="Calibri" w:cs="Calibri"/>
        <w:color w:val="FF0000"/>
        <w:sz w:val="16"/>
        <w:szCs w:val="16"/>
      </w:rPr>
      <w:t xml:space="preserve">Valid for the day of printing, thereafter document is </w:t>
    </w:r>
    <w:r w:rsidRPr="00BD0259">
      <w:rPr>
        <w:rFonts w:ascii="Calibri" w:hAnsi="Calibri" w:cs="Calibri"/>
        <w:b/>
        <w:color w:val="FF0000"/>
        <w:sz w:val="16"/>
        <w:szCs w:val="16"/>
      </w:rPr>
      <w:t xml:space="preserve">UNCONTROLLED </w:t>
    </w:r>
    <w:r w:rsidRPr="00BD0259">
      <w:rPr>
        <w:rFonts w:ascii="Calibri" w:hAnsi="Calibri" w:cs="Calibri"/>
        <w:color w:val="FF0000"/>
        <w:sz w:val="16"/>
        <w:szCs w:val="16"/>
      </w:rPr>
      <w:t xml:space="preserve">  </w:t>
    </w:r>
    <w:r w:rsidRPr="00BD0259">
      <w:rPr>
        <w:rFonts w:ascii="Calibri" w:hAnsi="Calibri" w:cs="Calibri"/>
        <w:color w:val="FF0000"/>
        <w:sz w:val="16"/>
        <w:szCs w:val="16"/>
      </w:rPr>
      <w:fldChar w:fldCharType="begin"/>
    </w:r>
    <w:r w:rsidRPr="00BD0259">
      <w:rPr>
        <w:rFonts w:ascii="Calibri" w:hAnsi="Calibri" w:cs="Calibri"/>
        <w:color w:val="FF0000"/>
        <w:sz w:val="16"/>
        <w:szCs w:val="16"/>
      </w:rPr>
      <w:instrText xml:space="preserve"> DATE \@ "dd/MM/yyyy HH:mm" </w:instrText>
    </w:r>
    <w:r w:rsidRPr="00BD0259">
      <w:rPr>
        <w:rFonts w:ascii="Calibri" w:hAnsi="Calibri" w:cs="Calibri"/>
        <w:color w:val="FF0000"/>
        <w:sz w:val="16"/>
        <w:szCs w:val="16"/>
      </w:rPr>
      <w:fldChar w:fldCharType="separate"/>
    </w:r>
    <w:r>
      <w:rPr>
        <w:rFonts w:ascii="Calibri" w:hAnsi="Calibri" w:cs="Calibri"/>
        <w:noProof/>
        <w:color w:val="FF0000"/>
        <w:sz w:val="16"/>
        <w:szCs w:val="16"/>
      </w:rPr>
      <w:t>10/04/2014 10:00</w:t>
    </w:r>
    <w:r w:rsidRPr="00BD0259">
      <w:rPr>
        <w:rFonts w:ascii="Calibri" w:hAnsi="Calibri" w:cs="Calibri"/>
        <w:color w:val="FF0000"/>
        <w:sz w:val="16"/>
        <w:szCs w:val="16"/>
      </w:rPr>
      <w:fldChar w:fldCharType="end"/>
    </w:r>
  </w:p>
  <w:p w:rsidR="00E9071E" w:rsidRPr="00E9071E" w:rsidRDefault="00E9071E" w:rsidP="00E9071E">
    <w:pPr>
      <w:pStyle w:val="Footer"/>
      <w:tabs>
        <w:tab w:val="left" w:pos="3450"/>
      </w:tabs>
      <w:jc w:val="center"/>
      <w:rPr>
        <w:rFonts w:ascii="Calibri" w:hAnsi="Calibri" w:cs="Calibri"/>
        <w:color w:val="FF0000"/>
        <w:sz w:val="16"/>
        <w:szCs w:val="16"/>
      </w:rPr>
    </w:pPr>
    <w:r w:rsidRPr="00BD0259">
      <w:rPr>
        <w:rFonts w:ascii="Calibri" w:hAnsi="Calibri" w:cs="Calibri"/>
        <w:color w:val="FF0000"/>
        <w:sz w:val="16"/>
        <w:szCs w:val="16"/>
      </w:rPr>
      <w:t xml:space="preserve">Page </w:t>
    </w:r>
    <w:r w:rsidRPr="00BD0259">
      <w:rPr>
        <w:rFonts w:ascii="Calibri" w:hAnsi="Calibri" w:cs="Calibri"/>
        <w:color w:val="FF0000"/>
        <w:sz w:val="16"/>
        <w:szCs w:val="16"/>
      </w:rPr>
      <w:fldChar w:fldCharType="begin"/>
    </w:r>
    <w:r w:rsidRPr="00BD0259">
      <w:rPr>
        <w:rFonts w:ascii="Calibri" w:hAnsi="Calibri" w:cs="Calibri"/>
        <w:color w:val="FF0000"/>
        <w:sz w:val="16"/>
        <w:szCs w:val="16"/>
      </w:rPr>
      <w:instrText xml:space="preserve"> PAGE </w:instrText>
    </w:r>
    <w:r w:rsidRPr="00BD0259">
      <w:rPr>
        <w:rFonts w:ascii="Calibri" w:hAnsi="Calibri" w:cs="Calibri"/>
        <w:color w:val="FF0000"/>
        <w:sz w:val="16"/>
        <w:szCs w:val="16"/>
      </w:rPr>
      <w:fldChar w:fldCharType="separate"/>
    </w:r>
    <w:r w:rsidR="00713B4F">
      <w:rPr>
        <w:rFonts w:ascii="Calibri" w:hAnsi="Calibri" w:cs="Calibri"/>
        <w:noProof/>
        <w:color w:val="FF0000"/>
        <w:sz w:val="16"/>
        <w:szCs w:val="16"/>
      </w:rPr>
      <w:t>1</w:t>
    </w:r>
    <w:r w:rsidRPr="00BD0259">
      <w:rPr>
        <w:rFonts w:ascii="Calibri" w:hAnsi="Calibri" w:cs="Calibri"/>
        <w:color w:val="FF0000"/>
        <w:sz w:val="16"/>
        <w:szCs w:val="16"/>
      </w:rPr>
      <w:fldChar w:fldCharType="end"/>
    </w:r>
    <w:r w:rsidRPr="00BD0259">
      <w:rPr>
        <w:rFonts w:ascii="Calibri" w:hAnsi="Calibri" w:cs="Calibri"/>
        <w:color w:val="FF0000"/>
        <w:sz w:val="16"/>
        <w:szCs w:val="16"/>
      </w:rPr>
      <w:t xml:space="preserve"> of </w:t>
    </w:r>
    <w:r w:rsidRPr="00BD0259">
      <w:rPr>
        <w:rFonts w:ascii="Calibri" w:hAnsi="Calibri" w:cs="Calibri"/>
        <w:color w:val="FF0000"/>
        <w:sz w:val="16"/>
        <w:szCs w:val="16"/>
      </w:rPr>
      <w:fldChar w:fldCharType="begin"/>
    </w:r>
    <w:r w:rsidRPr="00BD0259">
      <w:rPr>
        <w:rFonts w:ascii="Calibri" w:hAnsi="Calibri" w:cs="Calibri"/>
        <w:color w:val="FF0000"/>
        <w:sz w:val="16"/>
        <w:szCs w:val="16"/>
      </w:rPr>
      <w:instrText xml:space="preserve"> NUMPAGES </w:instrText>
    </w:r>
    <w:r w:rsidRPr="00BD0259">
      <w:rPr>
        <w:rFonts w:ascii="Calibri" w:hAnsi="Calibri" w:cs="Calibri"/>
        <w:color w:val="FF0000"/>
        <w:sz w:val="16"/>
        <w:szCs w:val="16"/>
      </w:rPr>
      <w:fldChar w:fldCharType="separate"/>
    </w:r>
    <w:r w:rsidR="00713B4F">
      <w:rPr>
        <w:rFonts w:ascii="Calibri" w:hAnsi="Calibri" w:cs="Calibri"/>
        <w:noProof/>
        <w:color w:val="FF0000"/>
        <w:sz w:val="16"/>
        <w:szCs w:val="16"/>
      </w:rPr>
      <w:t>1</w:t>
    </w:r>
    <w:r w:rsidRPr="00BD0259">
      <w:rPr>
        <w:rFonts w:ascii="Calibri" w:hAnsi="Calibri" w:cs="Calibri"/>
        <w:color w:val="FF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4F" w:rsidRDefault="00713B4F" w:rsidP="00E06512">
      <w:pPr>
        <w:spacing w:after="0" w:line="240" w:lineRule="auto"/>
      </w:pPr>
      <w:r>
        <w:separator/>
      </w:r>
    </w:p>
  </w:footnote>
  <w:footnote w:type="continuationSeparator" w:id="0">
    <w:p w:rsidR="00713B4F" w:rsidRDefault="00713B4F" w:rsidP="00E0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84"/>
      <w:gridCol w:w="2211"/>
      <w:gridCol w:w="3487"/>
    </w:tblGrid>
    <w:tr w:rsidR="00E9071E" w:rsidRPr="00E9071E" w:rsidTr="00466330">
      <w:tblPrEx>
        <w:tblCellMar>
          <w:top w:w="0" w:type="dxa"/>
          <w:bottom w:w="0" w:type="dxa"/>
        </w:tblCellMar>
      </w:tblPrEx>
      <w:tc>
        <w:tcPr>
          <w:tcW w:w="3368" w:type="pct"/>
          <w:gridSpan w:val="2"/>
          <w:tcBorders>
            <w:right w:val="single" w:sz="4" w:space="0" w:color="auto"/>
          </w:tcBorders>
          <w:vAlign w:val="center"/>
        </w:tcPr>
        <w:p w:rsidR="00E9071E" w:rsidRPr="00E9071E" w:rsidRDefault="00E9071E" w:rsidP="00E9071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n-US"/>
            </w:rPr>
          </w:pPr>
          <w:r w:rsidRPr="00E9071E">
            <w:rPr>
              <w:rFonts w:ascii="Calibri" w:eastAsia="Times New Roman" w:hAnsi="Calibri" w:cs="Calibri"/>
              <w:b/>
              <w:sz w:val="24"/>
              <w:szCs w:val="24"/>
              <w:lang w:val="en-US"/>
            </w:rPr>
            <w:t>NEW PRECINCT DEVELOPMENT</w:t>
          </w:r>
        </w:p>
      </w:tc>
      <w:tc>
        <w:tcPr>
          <w:tcW w:w="1632" w:type="pct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E9071E" w:rsidRPr="00E9071E" w:rsidRDefault="00E9071E" w:rsidP="00E9071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17365D"/>
              <w:sz w:val="24"/>
              <w:szCs w:val="24"/>
              <w:lang w:val="en-US"/>
            </w:rPr>
          </w:pPr>
          <w:r>
            <w:rPr>
              <w:rFonts w:ascii="Calibri" w:eastAsia="Times New Roman" w:hAnsi="Calibri" w:cs="Calibri"/>
              <w:b/>
              <w:noProof/>
              <w:color w:val="17365D"/>
              <w:sz w:val="24"/>
              <w:szCs w:val="24"/>
              <w:lang w:eastAsia="en-ZA"/>
            </w:rPr>
            <w:drawing>
              <wp:inline distT="0" distB="0" distL="0" distR="0" wp14:anchorId="532DDC1B" wp14:editId="2161C6B6">
                <wp:extent cx="1986915" cy="526415"/>
                <wp:effectExtent l="0" t="0" r="0" b="6985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071E" w:rsidRPr="00E9071E" w:rsidTr="00466330">
      <w:tblPrEx>
        <w:tblCellMar>
          <w:top w:w="0" w:type="dxa"/>
          <w:bottom w:w="0" w:type="dxa"/>
        </w:tblCellMar>
      </w:tblPrEx>
      <w:trPr>
        <w:trHeight w:val="57"/>
      </w:trPr>
      <w:tc>
        <w:tcPr>
          <w:tcW w:w="3368" w:type="pct"/>
          <w:gridSpan w:val="2"/>
          <w:tcBorders>
            <w:right w:val="single" w:sz="4" w:space="0" w:color="auto"/>
          </w:tcBorders>
          <w:vAlign w:val="center"/>
        </w:tcPr>
        <w:p w:rsidR="00E9071E" w:rsidRPr="00E9071E" w:rsidRDefault="00E9071E" w:rsidP="00E9071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en-US"/>
            </w:rPr>
          </w:pPr>
          <w:r w:rsidRPr="00E9071E">
            <w:rPr>
              <w:rFonts w:ascii="Calibri" w:eastAsia="Times New Roman" w:hAnsi="Calibri" w:cs="Calibri"/>
              <w:sz w:val="16"/>
              <w:szCs w:val="16"/>
              <w:lang w:val="en-US"/>
            </w:rPr>
            <w:t xml:space="preserve">Document : </w:t>
          </w:r>
          <w:r>
            <w:rPr>
              <w:rFonts w:cstheme="minorHAnsi"/>
              <w:sz w:val="16"/>
              <w:szCs w:val="16"/>
            </w:rPr>
            <w:t>Council Resolution</w:t>
          </w:r>
        </w:p>
      </w:tc>
      <w:tc>
        <w:tcPr>
          <w:tcW w:w="1632" w:type="pct"/>
          <w:vMerge/>
          <w:tcBorders>
            <w:left w:val="single" w:sz="4" w:space="0" w:color="auto"/>
            <w:bottom w:val="nil"/>
            <w:right w:val="nil"/>
          </w:tcBorders>
          <w:vAlign w:val="center"/>
        </w:tcPr>
        <w:p w:rsidR="00E9071E" w:rsidRPr="00E9071E" w:rsidRDefault="00E9071E" w:rsidP="00E9071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en-US"/>
            </w:rPr>
          </w:pPr>
        </w:p>
      </w:tc>
    </w:tr>
    <w:tr w:rsidR="00E9071E" w:rsidRPr="00E9071E" w:rsidTr="00466330">
      <w:tblPrEx>
        <w:tblCellMar>
          <w:top w:w="0" w:type="dxa"/>
          <w:bottom w:w="0" w:type="dxa"/>
        </w:tblCellMar>
      </w:tblPrEx>
      <w:trPr>
        <w:trHeight w:val="57"/>
      </w:trPr>
      <w:tc>
        <w:tcPr>
          <w:tcW w:w="2333" w:type="pct"/>
          <w:vAlign w:val="center"/>
        </w:tcPr>
        <w:p w:rsidR="00E9071E" w:rsidRPr="00E9071E" w:rsidRDefault="00E9071E" w:rsidP="00E9071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en-ZA"/>
            </w:rPr>
          </w:pPr>
          <w:r w:rsidRPr="00E9071E">
            <w:rPr>
              <w:rFonts w:ascii="Calibri" w:eastAsia="Times New Roman" w:hAnsi="Calibri" w:cs="Calibri"/>
              <w:sz w:val="16"/>
              <w:szCs w:val="16"/>
              <w:lang w:val="en-US"/>
            </w:rPr>
            <w:t xml:space="preserve">Document Number: </w:t>
          </w:r>
          <w:r>
            <w:rPr>
              <w:rFonts w:cstheme="minorHAnsi"/>
              <w:sz w:val="16"/>
              <w:szCs w:val="16"/>
            </w:rPr>
            <w:t>NDP – PI – 04 - 010</w:t>
          </w:r>
        </w:p>
      </w:tc>
      <w:tc>
        <w:tcPr>
          <w:tcW w:w="1035" w:type="pct"/>
          <w:tcBorders>
            <w:right w:val="single" w:sz="4" w:space="0" w:color="auto"/>
          </w:tcBorders>
          <w:vAlign w:val="center"/>
        </w:tcPr>
        <w:p w:rsidR="00E9071E" w:rsidRPr="00E9071E" w:rsidRDefault="00E9071E" w:rsidP="00E9071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en-US"/>
            </w:rPr>
          </w:pPr>
          <w:r w:rsidRPr="00E9071E">
            <w:rPr>
              <w:rFonts w:ascii="Calibri" w:eastAsia="Times New Roman" w:hAnsi="Calibri" w:cs="Calibri"/>
              <w:sz w:val="16"/>
              <w:szCs w:val="16"/>
              <w:lang w:val="en-US"/>
            </w:rPr>
            <w:t>Revision No: 0</w:t>
          </w:r>
        </w:p>
      </w:tc>
      <w:tc>
        <w:tcPr>
          <w:tcW w:w="1632" w:type="pct"/>
          <w:vMerge/>
          <w:tcBorders>
            <w:left w:val="single" w:sz="4" w:space="0" w:color="auto"/>
            <w:bottom w:val="nil"/>
            <w:right w:val="nil"/>
          </w:tcBorders>
          <w:vAlign w:val="center"/>
        </w:tcPr>
        <w:p w:rsidR="00E9071E" w:rsidRPr="00E9071E" w:rsidRDefault="00E9071E" w:rsidP="00E9071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en-US"/>
            </w:rPr>
          </w:pPr>
        </w:p>
      </w:tc>
    </w:tr>
    <w:tr w:rsidR="00E9071E" w:rsidRPr="00E9071E" w:rsidTr="00466330">
      <w:tblPrEx>
        <w:tblCellMar>
          <w:top w:w="0" w:type="dxa"/>
          <w:bottom w:w="0" w:type="dxa"/>
        </w:tblCellMar>
      </w:tblPrEx>
      <w:trPr>
        <w:cantSplit/>
        <w:trHeight w:val="57"/>
      </w:trPr>
      <w:tc>
        <w:tcPr>
          <w:tcW w:w="2333" w:type="pct"/>
          <w:vAlign w:val="center"/>
        </w:tcPr>
        <w:p w:rsidR="00E9071E" w:rsidRPr="00E9071E" w:rsidRDefault="00E9071E" w:rsidP="00E9071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en-US"/>
            </w:rPr>
          </w:pPr>
          <w:r w:rsidRPr="00E9071E">
            <w:rPr>
              <w:rFonts w:ascii="Calibri" w:eastAsia="Times New Roman" w:hAnsi="Calibri" w:cs="Calibri"/>
              <w:sz w:val="16"/>
              <w:szCs w:val="16"/>
              <w:lang w:val="en-US"/>
            </w:rPr>
            <w:t>Date: April 2014</w:t>
          </w:r>
        </w:p>
      </w:tc>
      <w:tc>
        <w:tcPr>
          <w:tcW w:w="1035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E9071E" w:rsidRPr="00E9071E" w:rsidRDefault="00E9071E" w:rsidP="00E9071E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val="en-US"/>
            </w:rPr>
          </w:pP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t xml:space="preserve">Page: </w:t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fldChar w:fldCharType="begin"/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instrText xml:space="preserve"> PAGE </w:instrText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fldChar w:fldCharType="separate"/>
          </w:r>
          <w:r w:rsidR="00713B4F">
            <w:rPr>
              <w:rFonts w:ascii="Calibri" w:eastAsia="Times New Roman" w:hAnsi="Calibri" w:cs="Calibri"/>
              <w:noProof/>
              <w:snapToGrid w:val="0"/>
              <w:sz w:val="16"/>
              <w:szCs w:val="16"/>
              <w:lang w:val="en-US"/>
            </w:rPr>
            <w:t>1</w:t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fldChar w:fldCharType="end"/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t xml:space="preserve"> of </w:t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fldChar w:fldCharType="begin"/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instrText xml:space="preserve"> NUMPAGES </w:instrText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fldChar w:fldCharType="separate"/>
          </w:r>
          <w:r w:rsidR="00713B4F">
            <w:rPr>
              <w:rFonts w:ascii="Calibri" w:eastAsia="Times New Roman" w:hAnsi="Calibri" w:cs="Calibri"/>
              <w:noProof/>
              <w:snapToGrid w:val="0"/>
              <w:sz w:val="16"/>
              <w:szCs w:val="16"/>
              <w:lang w:val="en-US"/>
            </w:rPr>
            <w:t>1</w:t>
          </w:r>
          <w:r w:rsidRPr="00E9071E"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  <w:fldChar w:fldCharType="end"/>
          </w:r>
        </w:p>
      </w:tc>
      <w:tc>
        <w:tcPr>
          <w:tcW w:w="1632" w:type="pct"/>
          <w:vMerge/>
          <w:tcBorders>
            <w:left w:val="single" w:sz="4" w:space="0" w:color="auto"/>
            <w:bottom w:val="nil"/>
            <w:right w:val="nil"/>
          </w:tcBorders>
          <w:vAlign w:val="center"/>
        </w:tcPr>
        <w:p w:rsidR="00E9071E" w:rsidRPr="00E9071E" w:rsidRDefault="00E9071E" w:rsidP="00E9071E">
          <w:pPr>
            <w:spacing w:after="0" w:line="240" w:lineRule="auto"/>
            <w:rPr>
              <w:rFonts w:ascii="Calibri" w:eastAsia="Times New Roman" w:hAnsi="Calibri" w:cs="Calibri"/>
              <w:snapToGrid w:val="0"/>
              <w:sz w:val="16"/>
              <w:szCs w:val="16"/>
              <w:lang w:val="en-US"/>
            </w:rPr>
          </w:pPr>
        </w:p>
      </w:tc>
    </w:tr>
  </w:tbl>
  <w:p w:rsidR="00E9071E" w:rsidRDefault="00E90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95"/>
    <w:multiLevelType w:val="hybridMultilevel"/>
    <w:tmpl w:val="1954EC3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C067D"/>
    <w:multiLevelType w:val="multilevel"/>
    <w:tmpl w:val="0BC027BE"/>
    <w:lvl w:ilvl="0">
      <w:start w:val="1"/>
      <w:numFmt w:val="decimal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">
    <w:nsid w:val="4DB31306"/>
    <w:multiLevelType w:val="hybridMultilevel"/>
    <w:tmpl w:val="77DCD36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0B"/>
    <w:rsid w:val="000D3F3D"/>
    <w:rsid w:val="002F199D"/>
    <w:rsid w:val="00317AC8"/>
    <w:rsid w:val="003B480B"/>
    <w:rsid w:val="00706BCD"/>
    <w:rsid w:val="00713B4F"/>
    <w:rsid w:val="00A53A38"/>
    <w:rsid w:val="00B07F33"/>
    <w:rsid w:val="00CF5ECD"/>
    <w:rsid w:val="00D15AF4"/>
    <w:rsid w:val="00E06512"/>
    <w:rsid w:val="00E14EA4"/>
    <w:rsid w:val="00E9071E"/>
    <w:rsid w:val="00F03C35"/>
    <w:rsid w:val="00F7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480B"/>
    <w:pPr>
      <w:keepNext/>
      <w:numPr>
        <w:numId w:val="3"/>
      </w:numPr>
      <w:spacing w:after="0" w:line="240" w:lineRule="auto"/>
      <w:outlineLvl w:val="0"/>
    </w:pPr>
    <w:rPr>
      <w:rFonts w:eastAsia="Times New Roman" w:cstheme="minorHAnsi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80B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80B"/>
    <w:rPr>
      <w:rFonts w:eastAsia="Times New Roman" w:cstheme="minorHAnsi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4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link w:val="DefaultChar"/>
    <w:rsid w:val="003B4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3B480B"/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65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5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5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65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65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65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0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1E"/>
  </w:style>
  <w:style w:type="paragraph" w:styleId="Footer">
    <w:name w:val="footer"/>
    <w:basedOn w:val="Normal"/>
    <w:link w:val="FooterChar"/>
    <w:unhideWhenUsed/>
    <w:rsid w:val="00E90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480B"/>
    <w:pPr>
      <w:keepNext/>
      <w:numPr>
        <w:numId w:val="3"/>
      </w:numPr>
      <w:spacing w:after="0" w:line="240" w:lineRule="auto"/>
      <w:outlineLvl w:val="0"/>
    </w:pPr>
    <w:rPr>
      <w:rFonts w:eastAsia="Times New Roman" w:cstheme="minorHAnsi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80B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80B"/>
    <w:rPr>
      <w:rFonts w:eastAsia="Times New Roman" w:cstheme="minorHAnsi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4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link w:val="DefaultChar"/>
    <w:rsid w:val="003B4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3B480B"/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65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5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5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65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65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65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0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1E"/>
  </w:style>
  <w:style w:type="paragraph" w:styleId="Footer">
    <w:name w:val="footer"/>
    <w:basedOn w:val="Normal"/>
    <w:link w:val="FooterChar"/>
    <w:unhideWhenUsed/>
    <w:rsid w:val="00E90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0F2F4AD-3470-4147-A842-78B45F3CDACB}"/>
</file>

<file path=customXml/itemProps2.xml><?xml version="1.0" encoding="utf-8"?>
<ds:datastoreItem xmlns:ds="http://schemas.openxmlformats.org/officeDocument/2006/customXml" ds:itemID="{C527767B-B8E4-4074-A52E-1A4872D9E624}"/>
</file>

<file path=customXml/itemProps3.xml><?xml version="1.0" encoding="utf-8"?>
<ds:datastoreItem xmlns:ds="http://schemas.openxmlformats.org/officeDocument/2006/customXml" ds:itemID="{78F2E1A1-E72F-4CA8-963C-C0289302D223}"/>
</file>

<file path=customXml/itemProps4.xml><?xml version="1.0" encoding="utf-8"?>
<ds:datastoreItem xmlns:ds="http://schemas.openxmlformats.org/officeDocument/2006/customXml" ds:itemID="{FDDF2FEC-4969-406F-948E-06C9BBCE3E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NDPG Pro-forma Council Resolution</dc:title>
  <dc:creator>Douglas Cohen</dc:creator>
  <cp:lastModifiedBy>Quentin Klynsmith</cp:lastModifiedBy>
  <cp:revision>6</cp:revision>
  <dcterms:created xsi:type="dcterms:W3CDTF">2013-07-03T12:09:00Z</dcterms:created>
  <dcterms:modified xsi:type="dcterms:W3CDTF">2014-04-10T08:01:00Z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  <property fmtid="{D5CDD505-2E9C-101B-9397-08002B2CF9AE}" pid="3" name="Organisation">
    <vt:lpwstr>National Treasury</vt:lpwstr>
  </property>
  <property fmtid="{D5CDD505-2E9C-101B-9397-08002B2CF9AE}" pid="4" name="Publication Year">
    <vt:lpwstr>2013</vt:lpwstr>
  </property>
  <property fmtid="{D5CDD505-2E9C-101B-9397-08002B2CF9AE}" pid="5" name="Folder type">
    <vt:lpwstr>1. Urban Network Planning</vt:lpwstr>
  </property>
  <property fmtid="{D5CDD505-2E9C-101B-9397-08002B2CF9AE}" pid="6" name="Document Format">
    <vt:lpwstr>18</vt:lpwstr>
  </property>
  <property fmtid="{D5CDD505-2E9C-101B-9397-08002B2CF9AE}" pid="7" name="NDP Page">
    <vt:lpwstr>UNS Support Guide</vt:lpwstr>
  </property>
</Properties>
</file>